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FFG 2017 — Satzung</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Die Satzung der Filmförderungsanstalt regelt, soweit dieses Gesetz keine Bestimmung trifft und die haushaltsrechtlichen Vorschriften des Bundes nicht entgegenstehen, das Nähere über</w:t>
      </w:r>
    </w:p>
    <w:p>
      <w:pPr>
        <w:ind w:left="420"/>
      </w:pPr>
      <w:r>
        <w:t xml:space="preserve">1. die Aufstellung und Ausführung des Wirtschaftsplans,</w:t>
      </w:r>
    </w:p>
    <w:p>
      <w:pPr>
        <w:ind w:left="420"/>
      </w:pPr>
      <w:r>
        <w:t xml:space="preserve">2. das Rechnungswesen,</w:t>
      </w:r>
    </w:p>
    <w:p>
      <w:pPr>
        <w:ind w:left="420"/>
      </w:pPr>
      <w:r>
        <w:t xml:space="preserve">3. die Rechnungslegung und</w:t>
      </w:r>
    </w:p>
    <w:p>
      <w:pPr>
        <w:ind w:left="420"/>
      </w:pPr>
      <w:r>
        <w:t xml:space="preserve">4. die Prüfung der Rechnung der Filmförderungsanstalt.</w:t>
      </w:r>
    </w:p>
    <w:p>
      <w:r>
        <w:t xml:space="preserve">(2) Die Satzung kann bestimmen, dass den Mitgliedern des Verwaltungsrats, den Mitgliedern des Präsidiums oder den jeweils an ihrer Stelle erschienenen stellvertretenden Mitgliedern Tagegelder, Übernachtungsgelder und Fahrtkostenerstattung sowie eine monatliche Aufwandsentschädigung gewährt werden. Die Satzung kann ferner bestimmen, dass</w:t>
      </w:r>
    </w:p>
    <w:p>
      <w:pPr>
        <w:ind w:left="420"/>
      </w:pPr>
      <w:r>
        <w:t xml:space="preserve">1. den Mitgliedern der Förderkommissionen und den stellvertretenden Mitgliedern der Kommission für Kinoförderung, die nicht Mitglieder des Verwaltungsrats sind, Tagegelder, Übernachtungsgelder und Fahrtkostenerstattung gewährt werden und</w:t>
      </w:r>
    </w:p>
    <w:p>
      <w:pPr>
        <w:ind w:left="420"/>
      </w:pPr>
      <w:r>
        <w:t xml:space="preserve">2. die Mitglieder der Förderkommissionen und die stellvertretenden Mitglieder der Kommission für Kinoförderung für die Prüfung von Anträgen eine Vergütung erhalten.</w:t>
      </w:r>
    </w:p>
    <w:p>
      <w:r>
        <w:rPr>
          <w:color w:val="555555"/>
          <w:sz w:val="17"/>
        </w:rPr>
        <w:t xml:space="preserve">Zitiervorschlag: § 32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