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FFG 2017 — Kommission für Kinoförderung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Kommission für Kinoförderung entscheidet über Förderhilfen im Rahmen der Kinoprojektförderung nach den §§ 134 bis 137 und 140 bis 144, soweit dies nicht nach § 17 in die Zuständigkeit des Vorstands fällt.</w:t>
      </w:r>
    </w:p>
    <w:p>
      <w:r>
        <w:t xml:space="preserve">(2) Die Kommission für Kinoförderung ist bei Anwesenheit von zwei Mitgliedern beschlussfähig. Sie fasst ihre Beschlüsse mit der Mehrheit der anwesenden Mitglieder. Die Mitglieder und stellvertretenden Mitglieder sind an Weisungen nicht gebunden. § 26 Absatz 3 Satz 3 und Absatz 4 gilt entsprechend.</w:t>
      </w:r>
    </w:p>
    <w:p>
      <w:r>
        <w:t xml:space="preserve">(3) (weggefallen)</w:t>
      </w:r>
    </w:p>
    <w:p>
      <w:r>
        <w:rPr>
          <w:color w:val="555555"/>
          <w:sz w:val="17"/>
        </w:rPr>
        <w:t xml:space="preserve">Zitiervorschlag: § 29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