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FFG 2017 — Kommission für Verleih-, Vertriebs- und Videoförderung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Die Kommission für Verleih-, Vertriebs- und Videoförderung entscheidet über Förderhilfen im Rahmen der Projektabsatzförderung nach den §§ 115 bis 126, soweit dies nicht nach § 17 in die Zuständigkeit des Vorstands fällt.</w:t>
      </w:r>
    </w:p>
    <w:p>
      <w:r>
        <w:t xml:space="preserve">(2) Die Kommission für Verleih-, Vertriebs- und Videoförderung tagt in unterschiedlicher Besetzung mit einer Zahl von jeweils fünf Mitgliedern. Jedes vom Verwaltungsrat nach § 22 Absatz 3 bestellte Mitglied darf maximal an drei Sitzungen im Kalenderjahr teilnehmen. Die Mitglieder sind an Weisungen nicht gebunden.</w:t>
      </w:r>
    </w:p>
    <w:p>
      <w:r>
        <w:t xml:space="preserve">(3) Die Kommission für Verleih-, Vertriebs- und Videoförderung ist bei Anwesenheit von drei Mitgliedern beschlussfähig. Sie fasst ihre Beschlüsse mit der Mehrheit der anwesenden Mitglieder. § 26 Absatz 3 Satz 3 und Absatz 4 gilt entsprechend.</w:t>
      </w:r>
    </w:p>
    <w:p>
      <w:r>
        <w:rPr>
          <w:color w:val="555555"/>
          <w:sz w:val="17"/>
        </w:rPr>
        <w:t xml:space="preserve">Zitiervorschlag: § 27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