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FFG 2017 — Geschäftsordnung, Befangenheit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Der Verwaltungsrat beschließt eine Geschäftsordnung, die für alle Förderkommissionen gilt. Die Geschäftsordnung bedarf der Genehmigung der für Kultur und Medien zuständigen obersten Bundesbehörde.</w:t>
      </w:r>
    </w:p>
    <w:p>
      <w:r>
        <w:t xml:space="preserve">(2) § 11 gilt für die Mitglieder der Förderkommissionen entsprechend.</w:t>
      </w:r>
    </w:p>
    <w:p>
      <w:r>
        <w:rPr>
          <w:color w:val="555555"/>
          <w:sz w:val="17"/>
        </w:rPr>
        <w:t xml:space="preserve">Zitiervorschlag: § 25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