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FFG 2017 — Verbot der Personenidentität, Abberufung, Neubestellung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Ein und dieselbe Person darf nur in einer einzigen Förderkommission Mitglied sein.</w:t>
      </w:r>
    </w:p>
    <w:p>
      <w:r>
        <w:t xml:space="preserve">(2) Aus wichtigem Grund kann der Verwaltungsrat Mitglieder der Förderkommissionen mit einer Mehrheit von zwei Dritteln der Stimmen, aber mindestens der Mehrheit seiner Mitglieder, jederzeit abberufen. Satz 1 gilt auch für die stellvertretenden Mitglieder der Kommission für Kinoförderung.</w:t>
      </w:r>
    </w:p>
    <w:p>
      <w:r>
        <w:t xml:space="preserve">(3) Scheidet ein Mitglied der Kommission für Produktions- und Drehbuchförderung oder der Kommission für Verleih-, Vertriebs- und Videoförderung vorzeitig aus, so wählt und bestellt der Verwaltungsrat nach den Vorgaben des § 22 Absatz 2 und 3 für den Rest der Amtszeit eine Nachfolge aus dem nach § 21 vorgeschlagenen und verbliebenen Personenkreis. Der zur Wahl stehende Personenkreis kann in diesem Fall nach den Vorgaben in § 21 um weitere Personen ergänzt werden.</w:t>
      </w:r>
    </w:p>
    <w:p>
      <w:r>
        <w:t xml:space="preserve">(4) Scheidet ein Mitglied der Kommission für Kinoförderung vorzeitig aus, so wählt und bestellt der Verwaltungsrat nach den Vorgaben des § 23 Absatz 3 für den Rest der Amtszeit eine Nachfolge aus dem nach § 23 Absatz 1 vorgeschlagenen und verbliebenen Personenkreis. Bei Bedarf schlagen die im Verwaltungsrat vertretenen Verbände der Kinowirtschaft weitere Personen nach Maßgabe des § 23 Absatz 1 vor.</w:t>
      </w:r>
    </w:p>
    <w:p>
      <w:r>
        <w:t xml:space="preserve">(5) Die Mitglieder der Förderkommissionen können einmal wiederbestellt werden. Eine Person kann später erneut als Mitglied bestellt werden, wenn seit Beendigung ihrer Mitgliedschaft fünf Jahre vergangen sind. Die Sätze 1 und 2 gelten entsprechend für die stellvertretenden Mitglieder der Kommission für Kinoförderung.</w:t>
      </w:r>
    </w:p>
    <w:p>
      <w:r>
        <w:rPr>
          <w:color w:val="555555"/>
          <w:sz w:val="17"/>
        </w:rPr>
        <w:t xml:space="preserve">Zitiervorschlag: § 24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