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FFG 2017 — Ständige Förderkommissionen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Historische Fassung: Stand 10.06.2019 bis 01.01.2025. Dies ist nicht die aktuelle Fassung.</w:t>
      </w:r>
    </w:p>
    <w:p>
      <w:r>
        <w:t xml:space="preserve">Folgende ständige Förderkommissionen werden eingerichtet:</w:t>
      </w:r>
    </w:p>
    <w:p>
      <w:pPr>
        <w:ind w:left="420"/>
      </w:pPr>
      <w:r>
        <w:t xml:space="preserve">1. die Kommission für Produktions- und Drehbuchförderung,</w:t>
      </w:r>
    </w:p>
    <w:p>
      <w:pPr>
        <w:ind w:left="420"/>
      </w:pPr>
      <w:r>
        <w:t xml:space="preserve">2. die Kommission für Verleih-, Vertriebs- und Videoförderung und</w:t>
      </w:r>
    </w:p>
    <w:p>
      <w:pPr>
        <w:ind w:left="420"/>
      </w:pPr>
      <w:r>
        <w:t xml:space="preserve">3. die Kommission für Kinoförderung.</w:t>
      </w:r>
    </w:p>
    <w:p>
      <w:r>
        <w:rPr>
          <w:color w:val="555555"/>
          <w:sz w:val="17"/>
        </w:rPr>
        <w:t xml:space="preserve">Zitiervorschlag: § 20 FFG 2017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https://recht.nulegal.eu/gesetze/FFG%202017/20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