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163 FFG 2017 — Verwendung von Rücklagen, Überschüssen und nicht verbrauchten Haushaltsmitteln</w:t>
      </w:r>
    </w:p>
    <w:p>
      <w:r>
        <w:rPr>
          <w:color w:val="555555"/>
          <w:sz w:val="18"/>
        </w:rPr>
        <w:t xml:space="preserve">Filmförderungsgesetz</w:t>
      </w:r>
    </w:p>
    <w:p>
      <w:r>
        <w:rPr>
          <w:color w:val="555555"/>
          <w:sz w:val="18"/>
        </w:rPr>
        <w:t xml:space="preserve">Historische Fassung: Stand 10.06.2019 bis 01.01.2025. Dies ist nicht die aktuelle Fassung.</w:t>
      </w:r>
    </w:p>
    <w:p>
      <w:r>
        <w:t xml:space="preserve">(1) Alle nicht im Wirtschaftsplan vorgesehenen Einnahmen (Überschüsse), nicht verbrauchte Haushaltsmittel sowie aufgelöste Rücklagen sind entsprechend der prozentualen Aufteilung für die Verwendung der Einnahmen aus der Filmabgabe nach § 159 zu verwenden.</w:t>
      </w:r>
    </w:p>
    <w:p>
      <w:r>
        <w:t xml:space="preserve">(2) Nicht verbrauchte Haushaltsmittel kann der Verwaltungsrat für denselben Förderzweck auf das nächste Wirtschaftsjahr übertragen. Die Übertragung ist nur zulässig, soweit dadurch die nach § 159 Absatz 1 und 2 für den jeweiligen Förderzweck zur Verfügung stehenden Mittel um nicht mehr als 30 Prozent erhöht werden. Im Übrigen sind nicht verbrauchte Haushaltsmittel den Einnahmen der Filmförderungsanstalt zuzuführen und nach Maßgabe des § 159 zu verwenden.</w:t>
      </w:r>
    </w:p>
    <w:p>
      <w:r>
        <w:t xml:space="preserve">(3) Abweichend von Absatz 1 kann der Verwaltungsrat Überschüsse, nicht verbrauchte Haushaltsmittel und aufgelöste Rücklagen den Mitteln für einen anderen Förderzweck zuführen, wenn dies zur Erfüllung der Aufgaben der Filmförderungsanstalt geboten ist. Auf die in Satz 1 genannten Fälle findet die Beschränkung nach Absatz 2 Satz 2 keine Anwendung.</w:t>
      </w:r>
    </w:p>
    <w:p>
      <w:r>
        <w:t xml:space="preserve">(4) Die Beschlüsse des Verwaltungsrats nach den Absätzen 2 und 3 ergehen mit einer Mehrheit von zwei Dritteln der Stimmen, mindestens aber der Mehrheit seiner Mitglieder.</w:t>
      </w:r>
    </w:p>
    <w:p>
      <w:r>
        <w:rPr>
          <w:color w:val="555555"/>
          <w:sz w:val="17"/>
        </w:rPr>
        <w:t xml:space="preserve">Zitiervorschlag: § 163 FFG 2017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https://recht.nulegal.eu/gesetze/FFG%202017/163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