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161a FFG 2017 — Ausnahmsweise Umwidmung in Fällen höherer Gewalt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In besonderen Ausnahmesituationen kann der Verwaltungsrat unter Berücksichtigung der Gesamtumstände und der insgesamt zur Verfügung stehenden Mittel entscheiden, dass Mittel nach § 159 Absatz 2 auch für die Erfüllung der Aufgaben nach § 3 Absatz 2 in Verbindung mit § 2 Satz 1 Nummer 1 verwendet werden sollen, wenn dies zur Abwendung oder Minderung von Schäden für die Struktur der deutschen Filmwirtschaft, die aufgrund höherer Gewalt drohen oder bereits eingetreten sind, unbedingt geboten erscheint (Umwidmung). § 160 bleibt unberührt.</w:t>
      </w:r>
    </w:p>
    <w:p>
      <w:r>
        <w:t xml:space="preserve">(2) Es können jeweils bis zu 25 Prozent der Ansätze nach § 159 Absatz 2 durch Beschluss des Verwaltungsrats umgewidmet werden. Über- und Unterschreitungen nach § 161 Absatz 2 sind bei der Bemessung zu berücksichtigen.</w:t>
      </w:r>
    </w:p>
    <w:p>
      <w:r>
        <w:t xml:space="preserve">(3) Die Umwidmungen erfolgen aus den Ansätzen derjenigen Förderbereiche, für deren antragsberechtigte Personen die umgewidmeten Mittel verwendet werden sollen.</w:t>
      </w:r>
    </w:p>
    <w:p>
      <w:r>
        <w:t xml:space="preserve">(4) Der Beschluss des Verwaltungsrats nach Absatz 1 ergeht mit einer Mehrheit von zwei Dritteln der Stimmen, mindestens aber der Mehrheit seiner Mitglieder.</w:t>
      </w:r>
    </w:p>
    <w:p>
      <w:r>
        <w:rPr>
          <w:color w:val="555555"/>
          <w:sz w:val="17"/>
        </w:rPr>
        <w:t xml:space="preserve">Zitiervorschlag: § 161a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https://recht.nulegal.eu/gesetze/FFG%202017/161a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