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161 FFG 2017 — Ermächtigung des Verwaltungsrats</w:t>
      </w:r>
    </w:p>
    <w:p>
      <w:r>
        <w:rPr>
          <w:color w:val="555555"/>
          <w:sz w:val="18"/>
        </w:rPr>
        <w:t xml:space="preserve">Filmförderungsgesetz</w:t>
      </w:r>
    </w:p>
    <w:p>
      <w:r>
        <w:rPr>
          <w:color w:val="555555"/>
          <w:sz w:val="18"/>
        </w:rPr>
        <w:t xml:space="preserve">Historische Fassung: Stand 10.06.2019 bis 01.01.2025. Dies ist nicht die aktuelle Fassung.</w:t>
      </w:r>
    </w:p>
    <w:p>
      <w:r>
        <w:t xml:space="preserve">(1) Soweit dieses Gesetz keine Bestimmung trifft, obliegt die Entscheidung über die Verteilung der Mittel auf die einzelnen Förderarten dem Verwaltungsrat.</w:t>
      </w:r>
    </w:p>
    <w:p>
      <w:r>
        <w:t xml:space="preserve">(2) Im Rahmen der insgesamt zur Verfügung stehenden Mittel kann der Verwaltungsrat bei der Beschlussfassung über den Wirtschaftsplan die Prozentsätze des § 159 Absatz 2 um bis zu 25 Prozent über- oder unterschreiten (Abweichungsspielraum). Stehen der Filmförderungsanstalt für denselben Förderzweck Mittel aus dem Bundeshaushalt zur Verfügung, können die Prozentsätze des § 159 Absatz 2 um bis zu 20 Prozent unterschritten werden. Jede Abweichung ist im Rahmen des Abweichungsspielraums anderer Ansätze auszugleichen.</w:t>
      </w:r>
    </w:p>
    <w:p>
      <w:r>
        <w:rPr>
          <w:color w:val="555555"/>
          <w:sz w:val="17"/>
        </w:rPr>
        <w:t xml:space="preserve">Zitiervorschlag: § 161 FFG 2017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https://recht.nulegal.eu/gesetze/FFG%202017/161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