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FFG 2017 — Filmabgabe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Filmförderungsanstalt finanziert sich im Wesentlichen durch die Erhebung einer nach Untergruppen von Abgabeschuldnern differenziert ausgestalteten Filmabgabe.</w:t>
      </w:r>
    </w:p>
    <w:p>
      <w:r>
        <w:t xml:space="preserve">(2) Die Filmförderungsanstalt kann darüber hinaus Zuwendungen von dritter Seite entgegennehmen, sofern der Zuwendungszweck mit der Erfüllung der Aufgaben nach § 3 Absatz 2 in Einklang steht. Die Zuwendungen sind den Einnahmen der Filmförderungsanstalt zuzuführen und nach Maßgabe des § 159 zu verwenden, es sei denn, dass der Zuwendungsgeber etwas anderes bestimmt.</w:t>
      </w:r>
    </w:p>
    <w:p>
      <w:r>
        <w:rPr>
          <w:color w:val="555555"/>
          <w:sz w:val="17"/>
        </w:rPr>
        <w:t xml:space="preserve">Zitiervorschlag: § 146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