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 FFG 2017 — Auszahlung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Auszahlung der Förderhilfen im Rahmen der Kinoprojektförderung erfolgt in bis zu vier Raten an die antragstellende Person.</w:t>
      </w:r>
    </w:p>
    <w:p>
      <w:r>
        <w:t xml:space="preserve">(2) Die Auszahlung der Förderhilfen im Rahmen der Kinoreferenzförderung erfolgt bedarfsgerecht in bis zu zwei Raten, sobald nachgewiesen ist, dass diese eine den Bestimmungen dieses Gesetzes entsprechende Verwendung finden.</w:t>
      </w:r>
    </w:p>
    <w:p>
      <w:r>
        <w:t xml:space="preserve">(3) Die Filmförderungsanstalt hat die Auszahlung der Förderhilfen nach den §§ 134 und 138 zu versagen, wenn die antragstellende Person zum jeweils maßgeblichen Auszahlungszeitpunkt nicht das Vorliegen sämtlicher Antrags- und Fördervoraussetzungen nachweist. Die Auszahlung ist insbesondere zu versagen, wenn die ordnungsgemäße Finanzierung der Maßnahme nicht gesichert ist.</w:t>
      </w:r>
    </w:p>
    <w:p>
      <w:r>
        <w:rPr>
          <w:color w:val="555555"/>
          <w:sz w:val="17"/>
        </w:rPr>
        <w:t xml:space="preserve">Zitiervorschlag: § 142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