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139 FFG 2017 — Art und Höhe, Verteilung der Referenzpunkte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Förderhilfen werden als Zuschuss gewährt.</w:t>
      </w:r>
    </w:p>
    <w:p>
      <w:r>
        <w:t xml:space="preserve">(2) Die für die Referenzkinoförderung zur Verfügung stehenden Mittel werden nach dem Verhältnis verteilt, in dem die Referenzpunkte der einzelnen Kinos zueinander stehen.</w:t>
      </w:r>
    </w:p>
    <w:p>
      <w:r>
        <w:rPr>
          <w:color w:val="555555"/>
          <w:sz w:val="17"/>
        </w:rPr>
        <w:t xml:space="preserve">Zitiervorschlag: § 139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