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FFG 2017 — Erlass von Restschulden</w:t>
      </w:r>
    </w:p>
    <w:p>
      <w:r>
        <w:rPr>
          <w:color w:val="555555"/>
          <w:sz w:val="18"/>
        </w:rPr>
        <w:t xml:space="preserve">Filmförderungsgesetz</w:t>
      </w:r>
    </w:p>
    <w:p>
      <w:r>
        <w:rPr>
          <w:color w:val="555555"/>
          <w:sz w:val="18"/>
        </w:rPr>
        <w:t xml:space="preserve">Historische Fassung: Stand 01.01.2024 bis 01.01.2025. Dies ist nicht die aktuelle Fassung.</w:t>
      </w:r>
    </w:p>
    <w:p>
      <w:r>
        <w:t xml:space="preserve">(1) Statt einer Förderhilfe nach § 134 Nummer 1 kann die Filmförderungsanstalt einem Kino für Maßnahmen zur Modernisierung und Verbesserung sowie zur Neuerrichtung auf Antrag einmalig bis zu 50 Prozent einer zum 1. Januar 2024 bei der Filmförderungsanstalt bestehenden Restschuld aus einem laufenden Darlehen für eine frühere Förderung erlassen, wenn der Kinobetreiber</w:t>
      </w:r>
    </w:p>
    <w:p>
      <w:pPr>
        <w:ind w:left="420"/>
      </w:pPr>
      <w:r>
        <w:t xml:space="preserve">1. bis zur Antragstellung das laufende Darlehen bisher regelmäßig getilgt hat,</w:t>
      </w:r>
    </w:p>
    <w:p>
      <w:pPr>
        <w:ind w:left="420"/>
      </w:pPr>
      <w:r>
        <w:t xml:space="preserve">2. bei Antragstellung bereits 50 Prozent der laufenden Darlehensforderung bei der Filmförderungsanstalt getilgt hat,</w:t>
      </w:r>
    </w:p>
    <w:p>
      <w:pPr>
        <w:ind w:left="420"/>
      </w:pPr>
      <w:r>
        <w:t xml:space="preserve">3. mit der Zahlung seiner Abgabe nach § 151 nicht im Rückstand ist und</w:t>
      </w:r>
    </w:p>
    <w:p>
      <w:pPr>
        <w:ind w:left="420"/>
      </w:pPr>
      <w:r>
        <w:t xml:space="preserve">4. spätestens zwölf Monate nach Zustellung des Vorbescheids nach Absatz 2 die geförderte Maßnahme nach § 134 Nummer 1 durchführt.</w:t>
      </w:r>
    </w:p>
    <w:p>
      <w:r>
        <w:t xml:space="preserve">Die Höhe des Forderungserlasses nach Satz 1 darf die anerkennungsfähigen Kosten der Maßnahme nach § 134 Nummer 1 nicht übersteigen.</w:t>
      </w:r>
    </w:p>
    <w:p>
      <w:r>
        <w:t xml:space="preserve">(2) Die Filmförderungsanstalt entscheidet durch Vorbescheid über den Forderungserlass nach Absatz 1 dem Grunde nach und kann dabei festlegen, dass der Kinobetreiber bis zum Nachweis der Maßnahme nach Absatz 1 Satz 1 Nummer 4 das laufende Darlehen mit reduzierter Rate tilgt. Der Vorbescheid nach Satz 1 wird unwirksam, wenn das Kino die Durchführung der Maßnahmen nach Absatz 1 Satz 1 Nummer 4 nicht spätestens zwölf Monate nach Zustellung des Vorbescheids nachweist.</w:t>
      </w:r>
    </w:p>
    <w:p>
      <w:r>
        <w:rPr>
          <w:color w:val="555555"/>
          <w:sz w:val="17"/>
        </w:rPr>
        <w:t xml:space="preserve">Zitiervorschlag: § 136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