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FFG 2017 — Art der Förderhilfe, Antrag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Förderhilfen werden auf Antrag als Zuschuss gewährt. Antragsberechtigt sind Verleihunternehmen.</w:t>
      </w:r>
    </w:p>
    <w:p>
      <w:r>
        <w:t xml:space="preserve">(2) Der Antrag ist spätestens drei Monate nach Verstreichen der Zeiträume nach § 74 Absatz 1 Satz 1, § 75 Absatz 4 und § 77 Absatz 2 Satz 1 zu stellen. Er wird bei der Zuerkennung nach § 129 nur dann im Kalenderjahr der Antragstellung berücksichtigt, wenn er bis zum 31. Januar des Jahres der Antragstellung gestellt wurde. Die Frist nach Satz 2 ist eine Ausschlussfrist.</w:t>
      </w:r>
    </w:p>
    <w:p>
      <w:r>
        <w:rPr>
          <w:color w:val="555555"/>
          <w:sz w:val="17"/>
        </w:rPr>
        <w:t xml:space="preserve">Zitiervorschlag: § 128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