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117 FFG 2017 — Verwendung für den Videoabsatz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Die Förderhilfen nach § 115 Nummer 2 und 3 für den Videoabsatz können verwendet werden</w:t>
      </w:r>
    </w:p>
    <w:p>
      <w:pPr>
        <w:ind w:left="420"/>
      </w:pPr>
      <w:r>
        <w:t xml:space="preserve">1. zur Deckung von Herausbringungskosten, wobei diese bei den Förderhilfen für den Absatz von Filmen mittels entgeltlicher Videoabrufdienste nach § 115 Nummer 3 nur die konkreten Kosten für die Herausbringung einzelner Filme oder Filmpakete, nicht aber die Kosten für die technische Infrastruktur zur Bereitstellung der Filme zum Abruf umfassen,</w:t>
      </w:r>
    </w:p>
    <w:p>
      <w:pPr>
        <w:ind w:left="420"/>
      </w:pPr>
      <w:r>
        <w:t xml:space="preserve">2. zur Herstellung von Fremdsprachenfassungen und</w:t>
      </w:r>
    </w:p>
    <w:p>
      <w:pPr>
        <w:ind w:left="420"/>
      </w:pPr>
      <w:r>
        <w:t xml:space="preserve">3. für Maßnahmen nach § 116 Absatz 1 Nummer 2 bis 6, wobei für Maßnahmen nach § 116 Absatz 1 Nummer 5 und 6 im Rahmen der Videoabsatzförderung auch deutsche Filmklassiker und in begrenztem Umfang auch ausländische Filme berücksichtigt werden können, soweit dabei jeweils die Werbung mit aktuellen deutschen Filmen im Mittelpunkt der Maßnahmen steht.</w:t>
      </w:r>
    </w:p>
    <w:p>
      <w:r>
        <w:rPr>
          <w:color w:val="555555"/>
          <w:sz w:val="17"/>
        </w:rPr>
        <w:t xml:space="preserve">Zitiervorschlag: § 117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https://recht.nulegal.eu/gesetze/FFG%202017/117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