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115 FFG 2017 — Förderhilfen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Die Filmförderungsanstalt kann Förderhilfen gewähren für</w:t>
      </w:r>
    </w:p>
    <w:p>
      <w:pPr>
        <w:ind w:left="420"/>
      </w:pPr>
      <w:r>
        <w:t xml:space="preserve">1. den Verleih im Inland (Verleih) oder den Vertrieb im Ausland (Vertrieb) von programmfüllenden Filmen im Sinne der §§ 41 bis 48,</w:t>
      </w:r>
    </w:p>
    <w:p>
      <w:pPr>
        <w:ind w:left="420"/>
      </w:pPr>
      <w:r>
        <w:t xml:space="preserve">2. den Absatz von mit Filmen im Sinne der §§ 41 bis 48 bespielten Bildträgern und</w:t>
      </w:r>
    </w:p>
    <w:p>
      <w:pPr>
        <w:ind w:left="420"/>
      </w:pPr>
      <w:r>
        <w:t xml:space="preserve">3. den Absatz von Filmen im Sinne der §§ 41 bis 48 mittels entgeltlicher Videoabrufdienste.</w:t>
      </w:r>
    </w:p>
    <w:p>
      <w:r>
        <w:rPr>
          <w:color w:val="555555"/>
          <w:sz w:val="17"/>
        </w:rPr>
        <w:t xml:space="preserve">Zitiervorschlag: § 115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