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FFG 2017 — Befangenheit</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Steht ein Mitglied des Verwaltungsrats zu einem Dritten in einem persönlichen Näheverhältnis oder in vertraglichen oder organschaftlichen Beziehungen, die geeignet sind, Misstrauen gegen eine unparteiische Amtsausübung zu rechtfertigen (Befangenheit), so darf dieses Mitglied nicht an Beschlüssen mitwirken, insbesondere nicht an Beschlüssen über die Gewährung von Förderhilfen, die den Dritten begünstigen können. § 20 des Verwaltungsverfahrensgesetzes bleibt unberührt.</w:t>
      </w:r>
    </w:p>
    <w:p>
      <w:r>
        <w:t xml:space="preserve">(2) Beschlüsse, an denen Mitglieder entgegen Absatz 1 mitgewirkt haben, sind unwirksam, wenn nicht ausgeschlossen werden kann, dass die Stimme dieses Mitglieds den Ausschlag gegeben hat.</w:t>
      </w:r>
    </w:p>
    <w:p>
      <w:r>
        <w:rPr>
          <w:color w:val="555555"/>
          <w:sz w:val="17"/>
        </w:rPr>
        <w:t xml:space="preserve">Zitiervorschlag: § 11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