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FFG 2017 — Auszahlung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Auszahlung der Förderhilfen erfolgt in bis zu vier Raten ab ihrer Zuerkennung entsprechend dem Fortschritt der jeweiligen Vorhabenentwicklung an die antragstellende Drehbuchautorin oder den antragstellenden Drehbuchautor.</w:t>
      </w:r>
    </w:p>
    <w:p>
      <w:r>
        <w:t xml:space="preserve">(2) Die Filmförderungsanstalt hat die Auszahlung der Förderhilfen zu versagen, wenn die antragstellende Person zum jeweiligen Auszahlungszeitpunkt nicht das Vorliegen sämtlicher Antrags- und Fördervoraussetzungen nachweist.</w:t>
      </w:r>
    </w:p>
    <w:p>
      <w:r>
        <w:rPr>
          <w:color w:val="555555"/>
          <w:sz w:val="17"/>
        </w:rPr>
        <w:t xml:space="preserve">Zitiervorschlag: § 104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https://recht.nulegal.eu/gesetze/FFG%202017/104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