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FFAVO (Sachsen)</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Es wird verordnet aufgrund von</w:t>
      </w:r>
    </w:p>
    <w:p>
      <w:r>
        <w:t xml:space="preserve">1. § 32 Abs. 1 und 2 des Bundesberggesetzes ( BBergG ) vom 13. August 1980 (BGBl. I S. 1310), zuletzt geändert durch Artikel 8 des Gesetzes vom 6. Juni 1995 (BGBl. I S. 778, 781), in Verbindung mit § 1 der Verordnung der Sächsischen Staatsregierung zur Übertragung von Ermächtigungen nach dem Bundesberggesetz (Ermächtigungsverordnung BBergG – BergErmVO –) vom 3. November 1992 (SächsGVBl. S. 479);</w:t>
      </w:r>
    </w:p>
    <w:p>
      <w:r>
        <w:t xml:space="preserve">2. § 36 Abs. 2 Satz 1 des Gesetzes über Ordnungswidrigkeiten ( OWiG ) in der Fassung der Bekanntmachung vom 19. Februar 1987 (BGBl. I S. 602), zuletzt geändert durch Artikel 2 des Gesetzes vom 17. März 1997 (BGBl. I S. 534), in Verbindung mit § 13 der Verordnung der Sächsischen Staatsregierung über Zuständigkeiten nach dem Gesetz über Ordnungswidrigkeiten (OWiZuVO) vom 2. Juli 1993 (SächsGVBl. S. 561), zuletzt geändert durch Verordnung vom 29. Juli 1996 (SächsGVBl. S. 358):</w:t>
      </w:r>
    </w:p>
    <w:p>
      <w:r>
        <w:rPr>
          <w:color w:val="555555"/>
          <w:sz w:val="17"/>
        </w:rPr>
        <w:t xml:space="preserve">Zitiervorschlag: Eingangsformel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