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FFAVO (Sachsen) — Anwendung des Verwaltungsverfahrensgesetzes und der Abgabenordnung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im Verwaltungsverfahrensgesetz in der Fassung der Bekanntmachung vom 23. Januar 2003 (BGBl. I S. 102), das zuletzt durch Artikel 5 Absatz 25 des Gesetzes vom 21. Juni 2019 (BGBl. I S. 846) geändert worden ist, in der jeweils geltenden Fassung, keine anderweitige Regelung getroffen worden ist, sind bei der Erhebung und Bezahlung der Feldes- und Förderabgabe ergänzend folgende Vorschriften der Abgabenordnung in der Fassung der Bekanntmachung vom 1. Oktober 2002 (BGBl. I S. 3866; 2003 I S. 61), die zuletzt durch Artikel 4 Absatz 7 des Gesetzes vom 7. Mai 2021 (BGBl. I S. 850) geändert worden ist, in der jeweils geltenden Fassung, entsprechend anzuwenden:</w:t>
      </w:r>
    </w:p>
    <w:p>
      <w:r>
        <w:t xml:space="preserve">1. über den Steuerpflichtigen die §§ 33 bis 36,</w:t>
      </w:r>
    </w:p>
    <w:p>
      <w:r>
        <w:t xml:space="preserve">2. über das Steuerschuldverhältnis die §§ 40 bis 42, 44 und 45,</w:t>
      </w:r>
    </w:p>
    <w:p>
      <w:r>
        <w:t xml:space="preserve">3. über die Haftung die §§ 69 bis 71, 73 bis 75 und 77,</w:t>
      </w:r>
    </w:p>
    <w:p>
      <w:r>
        <w:t xml:space="preserve">4. über die Besteuerungsgrundsätze und Beweismittel die §§ 90, 93, § 96 Abs. 1 bis 7 Satz 2, §§ 97 bis 99 und §§ 101 bis 107,</w:t>
      </w:r>
    </w:p>
    <w:p>
      <w:r>
        <w:t xml:space="preserve">5. über die Steuererklärungen § 152 Abs. 1 bis 3,</w:t>
      </w:r>
    </w:p>
    <w:p>
      <w:r>
        <w:t xml:space="preserve">6. über die Steuerfestsetzung § 156 Abs. 2, §§ 163, 169 mit der Maßgabe, daß die Festsetzungsfrist fünf Jahre beträgt, und § 170,</w:t>
      </w:r>
    </w:p>
    <w:p>
      <w:r>
        <w:t xml:space="preserve">7. über die Zahlung und Aufrechnung § 224 Abs. 2, §§ 225 und 226,</w:t>
      </w:r>
    </w:p>
    <w:p>
      <w:r>
        <w:t xml:space="preserve">8. über die Zahlungsverjährung die §§ 228 bis 232,</w:t>
      </w:r>
    </w:p>
    <w:p>
      <w:r>
        <w:t xml:space="preserve">9. über die Verzinsung die §§ 233, 233a mit der Maßgabe, daß der Zinslauf nach 18 Monaten beginnt und nach fünf Jahren endet sowie die §§ 235 und 237 bis 239,</w:t>
      </w:r>
    </w:p>
    <w:p>
      <w:r>
        <w:t xml:space="preserve">10. über die Säumniszuschläge § 240.</w:t>
      </w:r>
    </w:p>
    <w:p>
      <w:r>
        <w:rPr>
          <w:color w:val="555555"/>
          <w:sz w:val="17"/>
        </w:rPr>
        <w:t xml:space="preserve">Zitiervorschlag: § 7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