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FFAVO (Sachsen) — Fälligkeit der festgesetzten Abgabe</w:t>
      </w:r>
    </w:p>
    <w:p>
      <w:r>
        <w:rPr>
          <w:color w:val="555555"/>
          <w:sz w:val="18"/>
        </w:rPr>
        <w:t xml:space="preserve">Sächsische Feldes- und Förderabgabenverordnung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die festgesetzte Feldes- oder Förderabgabe die Summe der auf sie bereits entrichteten Beträge übersteigt, ist sie einen Monat nach Bekanntgabe des Abgabebescheides fällig. Ein überzahlter Betrag wird den Abgabepflichtigen erstattet.</w:t>
      </w:r>
    </w:p>
    <w:p>
      <w:r>
        <w:rPr>
          <w:color w:val="555555"/>
          <w:sz w:val="17"/>
        </w:rPr>
        <w:t xml:space="preserve">Zitiervorschlag: § 5 FFAVO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https://recht.nulegal.eu/gesetze/FFAVO/5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