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FFAVO (Sachsen) — Ordnungswidrigkeiten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145 Abs. 3 Nr. 1 des Bundesberggesetzes handelt, wer vorsätzlich oder fahrlässig entgegen</w:t>
      </w:r>
    </w:p>
    <w:p>
      <w:r>
        <w:t xml:space="preserve">1. § 3 Abs. 3 Satz 1 seine Anzeige- und Richtigstellungspflicht verletzt oder</w:t>
      </w:r>
    </w:p>
    <w:p>
      <w:r>
        <w:t xml:space="preserve">2. § 8 seiner Aufzeichnungs- oder Aufbewahrungspflicht nicht nachkommt.</w:t>
      </w:r>
    </w:p>
    <w:p>
      <w:r>
        <w:rPr>
          <w:color w:val="555555"/>
          <w:sz w:val="17"/>
        </w:rPr>
        <w:t xml:space="preserve">Zitiervorschlag: § 17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