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FFAGebV — Verordnungsermächtigung</w:t>
      </w:r>
    </w:p>
    <w:p>
      <w:r>
        <w:rPr>
          <w:color w:val="555555"/>
          <w:sz w:val="18"/>
        </w:rPr>
        <w:t xml:space="preserve">EEG- und Ausschreibungsgebührenverordnung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Bundesnetzagentur wird ermächtigt, durch Rechtsverordnung im Einvernehmen mit dem Bundesministerium für Wirtschaft und Energie die gebührenpflichtigen Tatbestände sowie die Gebührensätze nach der Anlage zu dieser Verordnung abweichend zu regeln.</w:t>
      </w:r>
    </w:p>
    <w:p>
      <w:r>
        <w:rPr>
          <w:color w:val="555555"/>
          <w:sz w:val="17"/>
        </w:rPr>
        <w:t xml:space="preserve">Zitiervorschlag: § 3 FFAGebV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