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FFAGebV — Ermäßigung der Gebühr</w:t>
      </w:r>
    </w:p>
    <w:p>
      <w:r>
        <w:rPr>
          <w:color w:val="555555"/>
          <w:sz w:val="18"/>
        </w:rPr>
        <w:t xml:space="preserve">EEG- und Ausschreibungsgebührenverordnung</w:t>
      </w:r>
    </w:p>
    <w:p>
      <w:r>
        <w:rPr>
          <w:color w:val="555555"/>
          <w:sz w:val="18"/>
        </w:rPr>
        <w:t xml:space="preserve">Historische Fassung: Stand 02.02.2020 bis 01.10.2021. Dies ist nicht die aktuelle Fassung.</w:t>
      </w:r>
    </w:p>
    <w:p>
      <w:r>
        <w:t xml:space="preserve">(1) Die Gebühren nach den Nummern 1 und 3 der Anlage zu dieser Rechtsverordnung ermäßigen sich nach § 15 Absatz 2 des Verwaltungskostengesetzes um ein Viertel, wenn das Gebot</w:t>
      </w:r>
    </w:p>
    <w:p>
      <w:pPr>
        <w:ind w:left="420"/>
      </w:pPr>
      <w:r>
        <w:t xml:space="preserve">1. nach § 30a Absatz 3 des Erneuerbare-Energien-Gesetzes zurückgenommen worden ist,</w:t>
      </w:r>
    </w:p>
    <w:p>
      <w:pPr>
        <w:ind w:left="420"/>
      </w:pPr>
      <w:r>
        <w:t xml:space="preserve">2. nach § 33 des Erneuerbare-Energien-Gesetzes ausgeschlossen worden ist,</w:t>
      </w:r>
    </w:p>
    <w:p>
      <w:pPr>
        <w:ind w:left="420"/>
      </w:pPr>
      <w:r>
        <w:t xml:space="preserve">3. im Rahmen des Zuschlagsverfahrens nach § 32 des Erneuerbare-Energien-Gesetzes nicht bezuschlagt worden ist,</w:t>
      </w:r>
    </w:p>
    <w:p>
      <w:pPr>
        <w:ind w:left="420"/>
      </w:pPr>
      <w:r>
        <w:t xml:space="preserve">4. nach § 7 Absatz 3 der Grenzüberschreitende-Erneuerbare-Energien-Verordnung zurückgenommen worden ist,</w:t>
      </w:r>
    </w:p>
    <w:p>
      <w:pPr>
        <w:ind w:left="420"/>
      </w:pPr>
      <w:r>
        <w:t xml:space="preserve">5. nach § 10 der Grenzüberschreitende-Erneuerbare-Energien-Verordnung ausgeschlossen worden ist,</w:t>
      </w:r>
    </w:p>
    <w:p>
      <w:pPr>
        <w:ind w:left="420"/>
      </w:pPr>
      <w:r>
        <w:t xml:space="preserve">6. im Rahmen des Zuschlagsverfahrens nach § 12 Absatz 1 und 2 der Grenzüberschreitende-Erneuerbare-Energien-Verordnung nicht bezuschlagt worden ist,</w:t>
      </w:r>
    </w:p>
    <w:p>
      <w:pPr>
        <w:ind w:left="420"/>
      </w:pPr>
      <w:r>
        <w:t xml:space="preserve">7. nach § 9 Absatz 1 der KWK-Ausschreibungsverordnung zurückgenommen worden ist,</w:t>
      </w:r>
    </w:p>
    <w:p>
      <w:pPr>
        <w:ind w:left="420"/>
      </w:pPr>
      <w:r>
        <w:t xml:space="preserve">8. nach § 12 der KWK-Ausschreibungsverordnung ausgeschlossen worden ist oder</w:t>
      </w:r>
    </w:p>
    <w:p>
      <w:pPr>
        <w:ind w:left="420"/>
      </w:pPr>
      <w:r>
        <w:t xml:space="preserve">9. im Rahmen des Zuschlagsverfahrens nach § 11 der KWK-Ausschreibungsverordnung nicht bezuschlagt worden ist.</w:t>
      </w:r>
    </w:p>
    <w:p>
      <w:r>
        <w:t xml:space="preserve">(2) Die Gebühr nach Nummer 2 der Anlage zu dieser Verordnung ermäßigt sich nach § 15 Absatz 2 des Verwaltungskostengesetzes um ein Viertel, wenn der Antrag nach § 38 Absatz 1 des Erneuerbare-Energien-Gesetzes auf Ausstellung einer Zahlungsberechtigung oder nach § 23 der Grenzüberschreitende-Erneuerbare-Energien-Verordnung auf Ausstellung von Zahlungsberechtigungen abgelehnt worden ist.</w:t>
      </w:r>
    </w:p>
    <w:p>
      <w:r>
        <w:t xml:space="preserve">(2a) Die Gebühr nach Nummer 6 der Anlage ermäßigt sich nach § 15 Absatz 2 des Verwaltungskostengesetzes um ein Viertel, wenn der Antrag nach § 9 Absatz 8 Satz 5 des Erneuerbare-Energien-Gesetzes auf Bewilligung der Ausnahme von der bedarfsgesteuerten Nachtkennzeichnung abgelehnt worden ist.</w:t>
      </w:r>
    </w:p>
    <w:p>
      <w:r>
        <w:t xml:space="preserve">(3) § 15 Absatz 2 zweiter Halbsatz des Verwaltungskostengesetzes bleibt unberührt.</w:t>
      </w:r>
    </w:p>
    <w:p>
      <w:r>
        <w:rPr>
          <w:color w:val="555555"/>
          <w:sz w:val="17"/>
        </w:rPr>
        <w:t xml:space="preserve">Zitiervorschlag: § 2 FFAGebV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https://recht.nulegal.eu/gesetze/FFAGebV/2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