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FFAGebV — Gebühren und Auslagen</w:t>
      </w:r>
    </w:p>
    <w:p>
      <w:r>
        <w:rPr>
          <w:color w:val="555555"/>
          <w:sz w:val="18"/>
        </w:rPr>
        <w:t xml:space="preserve">EEG- und Ausschreibungsgebührenverordnung</w:t>
      </w:r>
    </w:p>
    <w:p>
      <w:r>
        <w:rPr>
          <w:color w:val="555555"/>
          <w:sz w:val="18"/>
        </w:rPr>
        <w:t xml:space="preserve">Historische Fassung: Stand 02.02.2020 bis 01.10.2021. Dies ist nicht die aktuelle Fassung.</w:t>
      </w:r>
    </w:p>
    <w:p>
      <w:r>
        <w:t xml:space="preserve">(1) Die Bundesnetzagentur erhebt Gebühren und Auslagen</w:t>
      </w:r>
    </w:p>
    <w:p>
      <w:pPr>
        <w:ind w:left="420"/>
      </w:pPr>
      <w:r>
        <w:t xml:space="preserve">1. im Rahmen der Durchführung von Ausschreibungen nach</w:t>
      </w:r>
    </w:p>
    <w:p>
      <w:pPr>
        <w:ind w:left="780"/>
      </w:pPr>
      <w:r>
        <w:t xml:space="preserve">a) Teil 3 Abschnitt 3 des Erneuerbare-Energien-Gesetzes vom 21. Juli 2014 (BGBl. I S. 1066), das zuletzt durch Artikel 3 des Gesetzes vom 20. November 2019 (BGBl. I S. 1719) geändert worden ist,</w:t>
      </w:r>
    </w:p>
    <w:p>
      <w:pPr>
        <w:ind w:left="780"/>
      </w:pPr>
      <w:r>
        <w:t xml:space="preserve">b) der Grenzüberschreitende-Erneuerbare-Energien-Verordnung vom 10. August 2017 (BGBl. I S. 3102), die durch Artikel 19 des Gesetzes vom 13. Mai 2019 (BGBl. I S. 706) geändert worden ist,</w:t>
      </w:r>
    </w:p>
    <w:p>
      <w:pPr>
        <w:ind w:left="780"/>
      </w:pPr>
      <w:r>
        <w:t xml:space="preserve">c) der Verordnung zu den gemeinsamen Ausschreibungen vom 10. August 2017 (BGBl. I S. 3167, 3180), die durch Artikel 9 des Gesetzes vom 17. Dezember 2018 (BGBl. I S. 2549) geändert worden ist,</w:t>
      </w:r>
    </w:p>
    <w:p>
      <w:pPr>
        <w:ind w:left="780"/>
      </w:pPr>
      <w:r>
        <w:t xml:space="preserve">d) der Innovationsausschreibungsverordnung vom 20. Januar 2020 (BGBl. I S. 106) und</w:t>
      </w:r>
    </w:p>
    <w:p>
      <w:pPr>
        <w:ind w:left="780"/>
      </w:pPr>
      <w:r>
        <w:t xml:space="preserve">e) den §§ 8a und 8b des Kraft-Wärme-Kopplungsgesetzes vom 21. Dezember 2015 (BGBl. I S. 2498), das zuletzt durch Artikel 4 des Gesetzes vom 20. November 2019 (BGBl. I S. 1719) geändert worden ist, in Verbindung mit der KWK-Ausschreibungsverordnung vom 10. August 2017 (BGBl. I S. 3167), die zuletzt durch Artikel 20 des Gesetzes vom 13. Mai 2019 (BGBl. I S. 706) geändert worden ist, und</w:t>
      </w:r>
    </w:p>
    <w:p>
      <w:pPr>
        <w:ind w:left="420"/>
      </w:pPr>
      <w:r>
        <w:t xml:space="preserve">2. für die Entscheidung über die Bewilligung von Ausnahmen von der bedarfsgesteuerten Nachtkennzeichnung von Luftfahrthindernissen nach § 9 Absatz 8 Satz 5 des Erneuerbare-Energien-Gesetzes.</w:t>
      </w:r>
    </w:p>
    <w:p>
      <w:r>
        <w:t xml:space="preserve">(1a) Sofern ein Gebot bei den Ausschreibungen nach der Innovationsausschreibungsverordnung für eine Anlagenkombination abgegeben wird, ist die Gebühr mit dem höchsten Gebührensatz nach der Anlage zu dieser Verordnung zu entrichten.</w:t>
      </w:r>
    </w:p>
    <w:p>
      <w:r>
        <w:t xml:space="preserve">(2) Die gebührenpflichtigen Tatbestände und die Gebührensätze ergeben sich aus dem Gebührenverzeichnis der Anlage zu dieser Verordnung.</w:t>
      </w:r>
    </w:p>
    <w:p>
      <w:r>
        <w:rPr>
          <w:color w:val="555555"/>
          <w:sz w:val="17"/>
        </w:rPr>
        <w:t xml:space="preserve">Zitiervorschlag: § 1 FFAGebV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