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FEhrPensAnO</w:t>
      </w:r>
    </w:p>
    <w:p>
      <w:r>
        <w:rPr>
          <w:color w:val="555555"/>
          <w:sz w:val="18"/>
        </w:rPr>
        <w:t xml:space="preserve">Anordnung über Ehrenpensionen für Kämpfer gegen den Faschismus und für Verfolgte des Faschismus sowie für deren Hinterbliebene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Besteht Anspruch auf zwei Pensionen nach dieser Anordnung, wird nur die höhere gezahlt.</w:t>
      </w:r>
    </w:p>
    <w:p>
      <w:r>
        <w:rPr>
          <w:color w:val="555555"/>
          <w:sz w:val="17"/>
        </w:rPr>
        <w:t xml:space="preserve">Zitiervorschlag: § 9 FEhrPensAnO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https://recht.nulegal.eu/gesetze/FEhrPensAnO/9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