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arbeitsunfähig gelten:</w:t>
      </w:r>
    </w:p>
    <w:p>
      <w:pPr>
        <w:ind w:left="420"/>
      </w:pPr>
      <w:r>
        <w:t xml:space="preserve">a) die Witwe mit Vollendung des 55. Lebensjahres,</w:t>
      </w:r>
    </w:p>
    <w:p>
      <w:pPr>
        <w:ind w:left="420"/>
      </w:pPr>
      <w:r>
        <w:t xml:space="preserve">b) der Witwer mit Vollendung des 60. Lebensjahres,</w:t>
      </w:r>
    </w:p>
    <w:p>
      <w:pPr>
        <w:ind w:left="420"/>
      </w:pPr>
      <w:r>
        <w:t xml:space="preserve">c) die Witwe (der Witwer) bei Vorliegen von Invalidität,</w:t>
      </w:r>
    </w:p>
    <w:p>
      <w:pPr>
        <w:ind w:left="420"/>
      </w:pPr>
      <w:r>
        <w:t xml:space="preserve">d) die Witwe mit einem Kind unter 3 Jahren oder 2 Kindern unter 8 Jahren.</w:t>
      </w:r>
    </w:p>
    <w:p>
      <w:r>
        <w:t xml:space="preserve">(2) Bei Wiederverheiratung erlischt der Anspruch auf Hinterbliebenenpension.</w:t>
      </w:r>
    </w:p>
    <w:p>
      <w:r>
        <w:rPr>
          <w:color w:val="555555"/>
          <w:sz w:val="17"/>
        </w:rPr>
        <w:t xml:space="preserve">Zitiervorschlag: § 6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