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Pensionsalter wird von Frauen mit Vollendung des 55. Lebensjahres und von Männern mit Vollendung des 60. Lebensjahres erreicht.</w:t>
      </w:r>
    </w:p>
    <w:p>
      <w:r>
        <w:t xml:space="preserve">(2) Für die Feststellung der Invalidität gelten die Bestimmungen der Sozialversicherung.</w:t>
      </w:r>
    </w:p>
    <w:p>
      <w:r>
        <w:rPr>
          <w:color w:val="555555"/>
          <w:sz w:val="17"/>
        </w:rPr>
        <w:t xml:space="preserve">Zitiervorschlag: § 5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