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(2)</w:t>
      </w:r>
    </w:p>
    <w:p>
      <w:r>
        <w:t xml:space="preserve">(3) ... Für den Anspruch auf Kinderzuschlag gelten die Bestimmungen des § 7.</w:t>
      </w:r>
    </w:p>
    <w:p>
      <w:r>
        <w:rPr>
          <w:color w:val="555555"/>
          <w:sz w:val="17"/>
        </w:rPr>
        <w:t xml:space="preserve">Zitiervorschlag: § 3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