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FESchVO (Nordrhein-Westfalen)</w:t>
      </w:r>
    </w:p>
    <w:p>
      <w:r>
        <w:rPr>
          <w:color w:val="555555"/>
          <w:sz w:val="18"/>
        </w:rPr>
        <w:t xml:space="preserve">Ersatzschulfinanzierungsverordnung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18. März 2005</w:t>
      </w:r>
    </w:p>
    <w:p>
      <w:r>
        <w:t xml:space="preserve">Aufgrund des § 115 Abs. 1 und 2 sowie des § 133 Abs. 2 des Schulgesetzes (SchulG) vom 15. Februar 2005 (GV. NRW. S. 102) wird im Einvernehmen mit dem Innenministerium und dem Finanzministerium sowie mit Zustimmung der für Schulen und für Haushalt und Finanzen zuständigen Landtagsausschüsse verordnet:</w:t>
      </w:r>
    </w:p>
    <w:p>
      <w:r>
        <w:rPr>
          <w:color w:val="555555"/>
          <w:sz w:val="17"/>
        </w:rPr>
        <w:t xml:space="preserve">Zitiervorschlag: Eingangsformel FESchVO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https://recht.nulegal.eu/gesetze/FESchVO/eingangsformel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