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FESchVO (Nordrhein-Westfalen) — Inkrafttreten</w:t>
      </w:r>
    </w:p>
    <w:p>
      <w:r>
        <w:rPr>
          <w:color w:val="555555"/>
          <w:sz w:val="18"/>
        </w:rPr>
        <w:t xml:space="preserve">Ersatzschulfinanzierungsverordnung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1. Januar 2006 in Kraft.</w:t>
      </w:r>
    </w:p>
    <w:p>
      <w:r>
        <w:rPr>
          <w:color w:val="555555"/>
          <w:sz w:val="17"/>
        </w:rPr>
        <w:t xml:space="preserve">Zitiervorschlag: § 15 FESchVO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https://recht.nulegal.eu/gesetze/FESchVO/15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