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FESchVO (Nordrhein-Westfalen) — (zu § 114 SchulG) Prüfungsrecht</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Schulträger und Schulleitung sind verpflichtet, die Unterlagen entsprechend der Gliederung des Musterhaushaltsplans und prüfbar bereit zu halten, jederzeit Einblick in den Betrieb und die Einrichtungen der Schule im Rahmen einer örtlichen Prüfung zu geben sowie die angeforderten Auskünfte zu erteilen und Nachweise zu erbringen, soweit dies für die Bemessung und Prüfung der Verwendung der Zuschüsse erforderlich ist.</w:t>
      </w:r>
    </w:p>
    <w:p>
      <w:r>
        <w:t xml:space="preserve">(2) Bei Nutzung eines elektronischen Dokumenten-Management-Systems (Beleg-Archivierungssystem) durch den Ersatzschulträger kann die Bereithaltungspflicht aus Absatz 1 auch durch die Einrichtung einer Leseberechtigung für die obere Schulaufsichtsbehörde erfüllt werden. Das eingesetzte System muss die Einhaltung der einschlägigen steuer- und handelsrechtlichen Vorschriften der Abgabenordnung, des Handelsgesetzbuches sowie der Grundsätze zur ordnungsgemäßen Führung und Aufbewahrung von Büchern, Aufzeichnungen und Unterlagen in elektronischer Form sowie zum Datenzugriff sicherstellen.</w:t>
      </w:r>
    </w:p>
    <w:p>
      <w:r>
        <w:t xml:space="preserve">(3) Die Nachprüfung der getroffenen Beihilfe- und Versorgungsfestsetzungen im Rahmen der Ersatzschulfinanzierung wird gemäß § 114 Abs. 2 Satz 1 SchulG als Bestandteil der Rechnungsprüfung übertragen</w:t>
      </w:r>
    </w:p>
    <w:p>
      <w:r>
        <w:t xml:space="preserve">1. in Beihilfeangelegenheiten der zuständigen Bezirksregierung,</w:t>
      </w:r>
    </w:p>
    <w:p>
      <w:r>
        <w:t xml:space="preserve">2. in Versorgungsangelegenheiten dem Landesamt für Besoldung und Versorgung.</w:t>
      </w:r>
    </w:p>
    <w:p>
      <w:r>
        <w:t xml:space="preserve">(4) Gemäß § 114 Abs. 3 SchulG ist auf Antrag des Trägers der Ersatzschule die Bearbeitung folgender Verwaltungsangelegenheiten spezialisierten Landesbehörden gegen Entgelt zu übertragen:</w:t>
      </w:r>
    </w:p>
    <w:p>
      <w:r>
        <w:t xml:space="preserve">1. die Beihilfenbearbeitung für Lehrerinnen und Lehrer an Ersatzschulen den zentralisierten Beihilfestellen der Bezirksregierungen (§ 13 Abs. 1 Satz 2 Nr. 2 BVO),</w:t>
      </w:r>
    </w:p>
    <w:p>
      <w:r>
        <w:t xml:space="preserve">2. ganz oder teilweise die Versorgungsbearbeitung, -festsetzung und -auszahlung einschließlich der Beihilfengewährung für Versorgungsempfänger dem Landesamt für Besoldung und Versorgung.</w:t>
      </w:r>
    </w:p>
    <w:p>
      <w:r>
        <w:rPr>
          <w:color w:val="555555"/>
          <w:sz w:val="17"/>
        </w:rPr>
        <w:t xml:space="preserve">Zitiervorschlag: § 11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