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FELEG — Inkrafttreten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des Absatzes 2 mit Wirkung vom 1. Januar 1989 in Kraft.</w:t>
      </w:r>
    </w:p>
    <w:p>
      <w:r>
        <w:t xml:space="preserve">(2) Die §§ 13 und 16 sowie im Zusammenhang hiermit auch die Vorschriften des Dritten und Vierten Abschnitts sowie § 21 treten mit Wirkung vom 13. August 1988 in Kraft. Zahlungen sind jedoch erst vom 1. Januar 1989 an fällig.</w:t>
      </w:r>
    </w:p>
    <w:p>
      <w:r>
        <w:rPr>
          <w:color w:val="555555"/>
          <w:sz w:val="17"/>
        </w:rPr>
        <w:t xml:space="preserve">Zitiervorschlag: § 23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