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FELEG — Übergangsvorschriften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§ 8 Abs. 1 bis 3 ist auf Leistungen, die bereits am 31. Dezember 1994 ganz oder teilweise wegen des Zusammentreffens mit Einkommen ruhen, erstmals anzuwenden, wenn sich das maßgebende Einkommen ändert.</w:t>
      </w:r>
    </w:p>
    <w:p>
      <w:r>
        <w:t xml:space="preserve">(2) § 8 Abs. 8 gilt nur für die Fälle, in denen am 18. Juni 1994 die Leistung noch nicht endgültig festgesetzt war.</w:t>
      </w:r>
    </w:p>
    <w:p>
      <w:r>
        <w:t xml:space="preserve">(3) § 13 Abs. 1 Nr. 3 bis 6 und § 16 Satz 1 Nr. 3 bis 6 sind von dem Zeitpunkt ihres Inkrafttretens an auf einen Sachverhalt auch dann anzuwenden, wenn bereits vor diesem Zeitpunkt der Sachverhalt bestanden hat.</w:t>
      </w:r>
    </w:p>
    <w:p>
      <w:r>
        <w:t xml:space="preserve">(4) § 18e gilt nur für die Fälle, in denen am 18. Juni 1994 die Leistung noch nicht endgültig festgesetzt war.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22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