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18d FELEG — Besonderheiten für das Beitrittsgebiet</w:t>
      </w:r>
    </w:p>
    <w:p>
      <w:r>
        <w:rPr>
          <w:color w:val="555555"/>
          <w:sz w:val="18"/>
        </w:rPr>
        <w:t xml:space="preserve">Gesetz zur Förderung der Einstellung der landwirtschaftlichen Erwerbstätigkeit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228a des Sechsten Buches Sozialgesetzbuch und § 83 Abs. 3 des Gesetzes über die Alterssicherung der Landwirte gelten entsprechend.</w:t>
      </w:r>
    </w:p>
    <w:p>
      <w:r>
        <w:rPr>
          <w:color w:val="555555"/>
          <w:sz w:val="17"/>
        </w:rPr>
        <w:t xml:space="preserve">Zitiervorschlag: § 18d FELEG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https://recht.nulegal.eu/gesetze/FELEG/18d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