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FELEG — Beginn und Ende der Leistung, Verfahren</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Die Vorschriften des Gesetzes über die Alterssicherung der Landwirte über Renten wegen Todes bei Verschollenheit, über Beginn, Änderung, Ruhen und Ende von Renten, über Ausschluß und Minderung von Renten, über Leistungen an Berechtigte im Ausland, über Beginn und Abschluß des Verfahrens, über Auszahlung und Anpassung und über Berechnungsgrundsätze gelten entsprechend.</w:t>
      </w:r>
    </w:p>
    <w:p>
      <w:r>
        <w:t xml:space="preserve">(2) Der Anspruch auf das Ausgleichsgeld endet ferner</w:t>
      </w:r>
    </w:p>
    <w:p>
      <w:pPr>
        <w:ind w:left="420"/>
      </w:pPr>
      <w:r>
        <w:t xml:space="preserve">1. mit Ablauf des Kalendermonats vor dem Monat, von dem an a)</w:t>
      </w:r>
    </w:p>
    <w:p>
      <w:pPr>
        <w:ind w:left="780"/>
      </w:pPr>
      <w:r>
        <w:t xml:space="preserve">der nach § 9 Abs. 1 Leistungsberechtigte eine Regelaltersrente aus der gesetzlichen Rentenversicherung oder nach dem Gesetz über die Alterssicherung der Landwirte oder</w:t>
      </w:r>
    </w:p>
    <w:p>
      <w:pPr>
        <w:ind w:left="780"/>
      </w:pPr>
      <w:r>
        <w:t xml:space="preserve">b) der nach § 9 Abs. 2 Leistungsberechtigte wegen Vollendung des 45. Lebensjahres eine Witwen- oder Witwerrente aus der gesetzlichen Rentenversicherung oder nach dem Gesetz über die Alterssicherung der Landwirte</w:t>
      </w:r>
    </w:p>
    <w:p>
      <w:pPr>
        <w:ind w:left="420"/>
      </w:pPr>
      <w:r>
        <w:t xml:space="preserve">beanspruchen kann,</w:t>
      </w:r>
    </w:p>
    <w:p>
      <w:pPr>
        <w:ind w:left="420"/>
      </w:pPr>
      <w:r>
        <w:t xml:space="preserve">2. mit Ablauf des Kalendermonats, in dem der Leistungsempfänger als Landwirt nach § 1 Abs. 2 des Gesetzes über die Alterssicherung der Landwirte oder als mitarbeitender Familienangehöriger nach § 1 Abs. 8 des Gesetzes über die Alterssicherung der Landwirte wird.</w:t>
      </w:r>
    </w:p>
    <w:p>
      <w:r>
        <w:rPr>
          <w:color w:val="555555"/>
          <w:sz w:val="17"/>
        </w:rPr>
        <w:t xml:space="preserve">Zitiervorschlag: § 11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