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FDZGesV — Aufgaben der AG Pseudonymisierung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Die AG Pseudonymisierung legt zuverlässige Pseudonymisierungsverfahren für Dokumente oder Datensätze in den elektronischen Patientenakten verbindlich fest. Hierzu identifiziert die AG Pseudonymisierung zuverlässige Verfahren zur automatisierten Pseudonymisierung der jeweiligen Dokumente und Datensätze. Die AG Pseudonymisierung legt fest, ab welchem Zeitpunkt ein nach Satz 1 festgelegtes Pseudonymisierungsverfahren verbindlich ist. Für Datensätze oder Dokumente, die keine personenbezogenen Daten enthalten, kann die AG Pseudonymisierung festlegen, dass diese von den Krankenkassen aus der elektronischen Patientenakte zu übermitteln sind.</w:t>
      </w:r>
    </w:p>
    <w:p>
      <w:r>
        <w:t xml:space="preserve">(2) Vor der Festlegung eines Pseudonymisierungsverfahrens nach Absatz 1 Satz 1 oder einer Festlegung nach Absatz 1 Satz 4 stellt die AG Pseudonymisierung das Benehmen mit der oder dem Bundesbeauftragten für den Datenschutz und die Informationsfreiheit her. Die im Forschungsdatenzentrum durchzuführenden Maßnahmen zur Minimierung des spezifischen Re-Identifikationsrisikos nach § 20 sind bei der Bewertung des Re-Identifikationsrisikos zu berücksichtigen.</w:t>
      </w:r>
    </w:p>
    <w:p>
      <w:r>
        <w:t xml:space="preserve">(3) Sofern bei einem Typ von Dokumenten oder Datensätzen keine Pseudonymisierung erforderlich ist, weil keine personenbeziehbaren Datenfelder enthalten sind, stellt die AG Pseudonymisierung dies fest.</w:t>
      </w:r>
    </w:p>
    <w:p>
      <w:r>
        <w:t xml:space="preserve">(4) Die AG Pseudonymisierung legt bis zum 31. März 2025 nach Absatz 1 ein zuverlässiges Pseudonymisierungsverfahren für die elektronische Medikationsliste fest.</w:t>
      </w:r>
    </w:p>
    <w:p>
      <w:r>
        <w:rPr>
          <w:color w:val="555555"/>
          <w:sz w:val="17"/>
        </w:rPr>
        <w:t xml:space="preserve">Zitiervorschlag: § 15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