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FDZGesV — Informationspflichten und Datencockpit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Über die Benutzeroberfläche eines geeigneten Endgeräts sind Informationen über die Übermittlung von Daten aus der elektronischen Patientenakte nach § 7 übersichtlich nachvollziehbar zu machen (Datencockpit).</w:t>
      </w:r>
    </w:p>
    <w:p>
      <w:r>
        <w:t xml:space="preserve">(2) Im Datencockpit können Versicherte ihren Widerspruch nach § 8 erklären.</w:t>
      </w:r>
    </w:p>
    <w:p>
      <w:r>
        <w:t xml:space="preserve">(3) Im Datencockpit werden Versicherten insbesondere folgende Informationen bereitgestellt:</w:t>
      </w:r>
    </w:p>
    <w:p>
      <w:pPr>
        <w:ind w:left="420"/>
      </w:pPr>
      <w:r>
        <w:t xml:space="preserve">1. eine Übersicht über die nach § 10 übermittelten Daten, einschließlich Informationen über den Zeitpunkt der Datenübermittlung an das Forschungsdatenzentrum,</w:t>
      </w:r>
    </w:p>
    <w:p>
      <w:pPr>
        <w:ind w:left="420"/>
      </w:pPr>
      <w:r>
        <w:t xml:space="preserve">2. Informationen zu den Zwecken nach § 303e Absatz 2 des Fünften Buches Sozialgesetzbuch, zu welchen Daten im Forschungsdatenzentrum verfügbar gemacht werden, und</w:t>
      </w:r>
    </w:p>
    <w:p>
      <w:pPr>
        <w:ind w:left="420"/>
      </w:pPr>
      <w:r>
        <w:t xml:space="preserve">3. Informationen über erklärte Widersprüche der versicherten Person nach § 8, einschließlich des Zeitpunkts der Erklärung und einer möglichen Beschränkung des Widerspruchs auf bestimmte Zwecke im Rahmen eines Teilwiderspruchs nach § 8 Absatz 2.</w:t>
      </w:r>
    </w:p>
    <w:p>
      <w:r>
        <w:t xml:space="preserve">(4) Die elektronische Patientenakte muss technisch gewährleisten, dass Versicherte nach Ablauf der in § 342 Absatz 2 Satz 1 Nummer 4 des Fünften Buches Sozialgesetzbuch genannten Frist bei erstmaliger Nutzung einer Benutzeroberfläche eines geeigneten Endgerätes im Sinne von § 342 Absatz 2 des Fünften Buches Sozialgesetzbuch über die Benutzeroberfläche allgemein über die Datenübermittlung nach § 7 und über die Möglichkeit eines Widerspruchs nach § 8 im Datencockpit informiert werden.</w:t>
      </w:r>
    </w:p>
    <w:p>
      <w:r>
        <w:rPr>
          <w:color w:val="555555"/>
          <w:sz w:val="17"/>
        </w:rPr>
        <w:t xml:space="preserve">Zitiervorschlag: § 13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