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FDZGesV — Verarbeitung in der Vertrauensstelle</w:t>
      </w:r>
    </w:p>
    <w:p>
      <w:r>
        <w:rPr>
          <w:color w:val="555555"/>
          <w:sz w:val="18"/>
        </w:rPr>
        <w:t xml:space="preserve">Forschungsdatenzentrum Gesundheit-Verordnung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Verarbeitung der nach § 10 übermittelten Lieferpseudonyme und Arbeitsnummern in der Vertrauensstelle gilt § 6 entsprechend.</w:t>
      </w:r>
    </w:p>
    <w:p>
      <w:r>
        <w:rPr>
          <w:color w:val="555555"/>
          <w:sz w:val="17"/>
        </w:rPr>
        <w:t xml:space="preserve">Zitiervorschlag: § 11 FDZGesV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https://recht.nulegal.eu/gesetze/FDZGesV/11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