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FDNormV</w:t>
      </w:r>
    </w:p>
    <w:p>
      <w:r>
        <w:rPr>
          <w:color w:val="555555"/>
          <w:sz w:val="18"/>
        </w:rPr>
        <w:t xml:space="preserve">Fernsehdienstnormenverordnung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Satz 2 des Fernsehsignalübertragungs-Gesetzes vom 14. November 1997 (BGBl. I S. 2710) in Verbindung mit Artikel 56 des Zuständigkeitsanpassungs-Gesetzes vom 18. März 1975 (BGBl. I S. 705), dem Organisationserlaß vom 17. Dezember 1997 (BGBl. 1998 I S. 68) und dem Organisationserlaß vom 27. Oktober 1998 (BGBl. I S. 3288) verordnet das Bundesministerium für Wirtschaft und Technologie:</w:t>
      </w:r>
    </w:p>
    <w:p>
      <w:r>
        <w:rPr>
          <w:color w:val="555555"/>
          <w:sz w:val="17"/>
        </w:rPr>
        <w:t xml:space="preserve">Zitiervorschlag: Eingangsformel FDNormV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https://recht.nulegal.eu/gesetze/FDNormV/eingangsformel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