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FDNormV — Inkrafttreten</w:t>
      </w:r>
    </w:p>
    <w:p>
      <w:r>
        <w:rPr>
          <w:color w:val="555555"/>
          <w:sz w:val="18"/>
        </w:rPr>
        <w:t xml:space="preserve">Fernsehdienstnormenverordnung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 FDNormV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https://recht.nulegal.eu/gesetze/FDNormV/2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