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FDNormV — Normen</w:t>
      </w:r>
    </w:p>
    <w:p>
      <w:r>
        <w:rPr>
          <w:color w:val="555555"/>
          <w:sz w:val="18"/>
        </w:rPr>
        <w:t xml:space="preserve">Fernsehdienstnormenverordnung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Übertragungssysteme für voll digitale Fernsehdienste müssen nachstehende Normen des Europäischen Instituts für Telekommunikationsnormen ETSI angewendet werden:</w:t>
      </w:r>
    </w:p>
    <w:p>
      <w:pPr>
        <w:ind w:left="420"/>
      </w:pPr>
      <w:r>
        <w:t xml:space="preserve">a) Terrestrische Übertragungssysteme:DIN ETS 300744 "Digitaler Fernsehrundfunk (DVB); Rahmenstruktur, Kanalcodierung und Modulation für das digitale terrestrische Fernsehen (DVB-T)"</w:t>
      </w:r>
    </w:p>
    <w:p>
      <w:pPr>
        <w:ind w:left="420"/>
      </w:pPr>
      <w:r>
        <w:t xml:space="preserve">b) Satelliten-Übertragungssysteme:DIN ETS 300421 "Digitale Rundfunk-Systeme für Fernsehen, Ton und Datendienste; Rahmenstruktur, Kanalcodierung und Modulation für Dienste über Satellit bei 11/12 GHz"</w:t>
      </w:r>
    </w:p>
    <w:p>
      <w:pPr>
        <w:ind w:left="420"/>
      </w:pPr>
      <w:r>
        <w:t xml:space="preserve">c) Kabel-Übertragungssysteme:DIN ETS 300429 "Digitale Rundfunk-Systeme für Fernsehen, Ton und Datendienste; Rahmenstruktur, Kanalcodierung und Modulation bei Kabelsystemen"</w:t>
      </w:r>
    </w:p>
    <w:p>
      <w:r>
        <w:t xml:space="preserve">(2) Für die unter Absatz 1 genannten Normen gilt die jeweilige aktuelle Fassung unter der Voraussetzung, daß die Abwärtskompatibilität gewährleistet ist. Dies schließt das Überführen der Normen von DIN ETS nach DIN EN ein.</w:t>
      </w:r>
    </w:p>
    <w:p>
      <w:r>
        <w:rPr>
          <w:color w:val="555555"/>
          <w:sz w:val="17"/>
        </w:rPr>
        <w:t xml:space="preserve">Zitiervorschlag: § 1 FDNormV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https://recht.nulegal.eu/gesetze/FDNormV/1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