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FDAG NRW (Nordrhein-Westfalen) — In-Kraft-Treten, Berichtspflicht</w:t>
      </w:r>
    </w:p>
    <w:p>
      <w:r>
        <w:rPr>
          <w:color w:val="555555"/>
          <w:sz w:val="18"/>
        </w:rPr>
        <w:t xml:space="preserve">Forstdienstausbildungsgesetz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 Über die Wirksamkeit dieses Gesetzes berichtet die Landesregierung dem Landtag bis zum 31. Dezember 2012.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Der Innenminister</w:t>
      </w:r>
    </w:p>
    <w:p>
      <w:r>
        <w:t xml:space="preserve">Der Minister für Ernährung,</w:t>
      </w:r>
    </w:p>
    <w:p>
      <w:r>
        <w:t xml:space="preserve">Landwirtschaft und Forsten</w:t>
      </w:r>
    </w:p>
    <w:p>
      <w:r>
        <w:t xml:space="preserve">Der Minister für Wissenschaft</w:t>
      </w:r>
    </w:p>
    <w:p>
      <w:r>
        <w:t xml:space="preserve">und Forschung</w:t>
      </w:r>
    </w:p>
    <w:p>
      <w:r>
        <w:rPr>
          <w:color w:val="555555"/>
          <w:sz w:val="17"/>
        </w:rPr>
        <w:t xml:space="preserve">Zitiervorschlag: § 11 FDAG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https://recht.nulegal.eu/gesetze/FDAG%20NRW/11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