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FBeitrV 2000</w:t>
      </w:r>
    </w:p>
    <w:p>
      <w:r>
        <w:rPr>
          <w:color w:val="555555"/>
          <w:sz w:val="18"/>
        </w:rPr>
        <w:t xml:space="preserve">Frequenznutzungsbeitragsverordnung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48 Abs. 3 des Telekommunikationsgesetzes vom 25. Juli 1996 (BGBl. I S. 1120) in Verbindung mit Artikel 56 Abs. 1 des Zuständigkeitsanpassungs-Gesetzes vom 18. März 1975 (BGBl. I S. 705) und den Organisationserlassen vom 17. Dezember 1997 (BGBl. 1998 I S. 68) und vom 27. Oktober 1998 (BGBl. I S. 3288) verordnet das Bundesministerium für Wirtschaft und Technologie im Einvernehmen mit dem Bundesministerium des Innern, dem Bundesministerium der Finanzen und dem Bundesministerium der Justiz:</w:t>
      </w:r>
    </w:p>
    <w:p>
      <w:r>
        <w:rPr>
          <w:color w:val="555555"/>
          <w:sz w:val="17"/>
        </w:rPr>
        <w:t xml:space="preserve">Zitiervorschlag: Eingangsformel FBeitrV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https://recht.nulegal.eu/gesetze/FBeitrV%202000/eingangsformel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