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FBeitrV 2000 — Übergangsvorschriften</w:t>
      </w:r>
    </w:p>
    <w:p>
      <w:r>
        <w:rPr>
          <w:color w:val="555555"/>
          <w:sz w:val="18"/>
        </w:rPr>
        <w:t xml:space="preserve">Frequenznutzungsbeitragsverordnung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Beiträge für die Jahre 1998 und 1999, die nach der Frequenznutzungsbeitragsverordnung vom 19. November 1996 (BGBl. I S. 1790), geändert durch die Verordnung vom 22. Dezember 1998 (BGBl. I S. 3894), entstanden sind und bisher noch nicht erhoben wurden, können vorbehaltlich des Absatzes 2 auf der Grundlage der bisherigen Regelungen erhoben werden.</w:t>
      </w:r>
    </w:p>
    <w:p>
      <w:r>
        <w:t xml:space="preserve">(2) Für diejenigen Nutzergruppen, die erstmalig in den Kalenderjahren 1998 oder 1999 eine Zuteilung nach § 47 des Telekommunikationsgesetzes erhalten haben, gelten für die Beitragspflicht sowie die Beitragsermittlung und Beitragsfestsetzung § 1 Abs. 3 und § 4.</w:t>
      </w:r>
    </w:p>
    <w:p>
      <w:r>
        <w:t xml:space="preserve">(3) Für die Beiträge nach Absatz 1 gilt § 3a entsprechend.</w:t>
      </w:r>
    </w:p>
    <w:p>
      <w:r>
        <w:rPr>
          <w:color w:val="555555"/>
          <w:sz w:val="17"/>
        </w:rPr>
        <w:t xml:space="preserve">Zitiervorschlag: § 9 FBeitrV 2000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https://recht.nulegal.eu/gesetze/FBeitrV%202000/9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