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FBeitrV 2000 — Beitragspflicht</w:t>
      </w:r>
    </w:p>
    <w:p>
      <w:r>
        <w:rPr>
          <w:color w:val="555555"/>
          <w:sz w:val="18"/>
        </w:rPr>
        <w:t xml:space="preserve">Frequenznutzungsbeitragsverordnung</w:t>
      </w:r>
    </w:p>
    <w:p>
      <w:r>
        <w:rPr>
          <w:color w:val="555555"/>
          <w:sz w:val="18"/>
        </w:rPr>
        <w:t xml:space="preserve">Stand: 10.06.2019 (konsolidierte Textfassung, kein amtliches Inkrafttretensdatum)</w:t>
      </w:r>
    </w:p>
    <w:p>
      <w:r>
        <w:t xml:space="preserve">(1) Beitragspflichtig für die in § 48 Abs. 2 des Telekommunikationsgesetzes genannten Aufwendungen ist jeder Inhaber einer Zuteilung nach § 47 des Telekommunikationsgesetzes. Die bis zum 1. August 1996 erteilten Verleihungen gelten, soweit sie Festlegungen über die Nutzung von Frequenzen enthalten, als Zuteilungen nach § 47 des Telekommunikationsgesetzes. Satz 2 gilt auch für sonstige Verwaltungsakte, soweit sie eine Genehmigung zur Nutzung von Frequenzen beinhalten.</w:t>
      </w:r>
    </w:p>
    <w:p>
      <w:r>
        <w:t xml:space="preserve">(2) Die Beitragserhebung erfolgt nach Nutzergruppen (Spalte 3 der Anlage zu dieser Verordnung), denen Frequenzen zugeteilt sind. Innerhalb der Nutzergruppen erfolgt die Aufteilung des Beitrags nach Bezugseinheiten (Spalte 4 der Anlage). Nutzergruppen, denen Frequenzen zugeteilt sind, für die aber noch keine Beitragsberechnung nach § 3 Abs. 3 möglich ist (neue Nutzergruppen), sind am Ende der Anlage aufgeführt. Die Anlage wird jährlich aktualisiert.</w:t>
      </w:r>
    </w:p>
    <w:p>
      <w:r>
        <w:t xml:space="preserve">(3) Die Beitragspflicht beginnt mit dem Monat der Zuteilung der für den Betrieb der Sendefunkanlage oder des Sendefunknetzes notwendigen Frequenzen, frühestens jedoch mit dem Beginn des Kalenderjahres, für das eine Beitragsfestlegung nach § 4 Abs. 2 möglich ist. Sie endet mit Ablauf des Monats, in dem der Verzicht auf die Zuteilung nach § 47 des Telekommunikationsgesetzes, die Rücknahme oder der Widerruf der Zuteilung nach § 47 des Telekommunikationsgesetzes wirksam wird, oder eine Befristung der Zuteilung abläuft. Ein rückwirkender Verzicht ist ausgeschlossen.</w:t>
      </w:r>
    </w:p>
    <w:p>
      <w:r>
        <w:rPr>
          <w:color w:val="555555"/>
          <w:sz w:val="17"/>
        </w:rPr>
        <w:t xml:space="preserve">Zitiervorschlag: § 1 FBeitrV 2000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https://recht.nulegal.eu/gesetze/FBeitrV%202000/1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