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FBV (Bayern)</w:t>
      </w:r>
    </w:p>
    <w:p>
      <w:r>
        <w:rPr>
          <w:color w:val="555555"/>
          <w:sz w:val="18"/>
        </w:rPr>
        <w:t xml:space="preserve">Verordnung über die Feuerbeschau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38 Abs. 1 Nr. 1, Abs. 2 und 3 des Landesstraf- und Verordnungsgesetzes (BayRS 2011-2-1), zuletzt geändert durch § 2 des Gesetzes vom 12. April 1999 (GVBl S. 130), erlässt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FBV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