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FBV (Bayern) — Einschränkung des Geltungsbereichs</w:t>
      </w:r>
    </w:p>
    <w:p>
      <w:r>
        <w:rPr>
          <w:color w:val="555555"/>
          <w:sz w:val="18"/>
        </w:rPr>
        <w:t xml:space="preserve">Verordnung über die Feuerbeschau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gilt nicht für Anlagen, die der Bergaufsicht unterliegen, und für Gebäude und Anlagen in militärischen Sicherheitsbereichen.</w:t>
      </w:r>
    </w:p>
    <w:p>
      <w:r>
        <w:t xml:space="preserve">(2) § 6 gilt nicht, soweit Maßnahmen gegen den Bund oder den Freistaat Bayern zu richten wären. In diesen Fällen teilen die Gemeinden die bei der Feuerbeschau festgestellten Mängel der grundbesitzverwaltenden Dienststelle mit.</w:t>
      </w:r>
    </w:p>
    <w:p>
      <w:r>
        <w:rPr>
          <w:color w:val="555555"/>
          <w:sz w:val="17"/>
        </w:rPr>
        <w:t xml:space="preserve">Zitiervorschlag: § 7 FBV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