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FAnpG — Verwaltungsausgaben</w:t>
      </w:r>
    </w:p>
    <w:p>
      <w:r>
        <w:rPr>
          <w:color w:val="555555"/>
          <w:sz w:val="18"/>
        </w:rPr>
        <w:t xml:space="preserve">Finanzanpassungsgesetz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und die Länder tragen gesondert die Verwaltungsausgaben, die sich aus der Wahrnehmung der ihnen obliegenden Verwaltungsaufgaben ergeben. Die Erstattung von Verwaltungskosten bei Amtshilfe bleibt unberührt.</w:t>
      </w:r>
    </w:p>
    <w:p>
      <w:r>
        <w:t xml:space="preserve">(2) Erledigen die Länder oder der Bund auf Grund von Verwaltungsvereinbarungen Verwaltungsaufgaben, die dem anderen Teil obliegen, richtet sich die Erstattung von Verwaltungsausgaben nach den getroffenen Vereinbarungen.</w:t>
      </w:r>
    </w:p>
    <w:p>
      <w:r>
        <w:rPr>
          <w:color w:val="555555"/>
          <w:sz w:val="17"/>
        </w:rPr>
        <w:t xml:space="preserve">Zitiervorschlag: Art 1 FAnpG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