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FAgrPrV — Inkrafttreten</w:t>
      </w:r>
    </w:p>
    <w:p>
      <w:r>
        <w:rPr>
          <w:color w:val="555555"/>
          <w:sz w:val="18"/>
        </w:rPr>
        <w:t xml:space="preserve">Verordnung über die Prüfung zum anerkannten Abschluß Geprüfter Fachagrarwirt/Geprüfte Fachagrarwirtin - Baumpflege und Baumsanierung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Diese Verordnung tritt am 1. Oktober 1993 in Kraft.</w:t>
      </w:r>
    </w:p>
    <w:p>
      <w:r>
        <w:rPr>
          <w:color w:val="555555"/>
          <w:sz w:val="17"/>
        </w:rPr>
        <w:t xml:space="preserve">Zitiervorschlag: § 9 FAgrPrV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https://recht.nulegal.eu/gesetze/FAgrPrV/9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